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418"/>
        <w:gridCol w:w="1559"/>
        <w:gridCol w:w="4678"/>
        <w:gridCol w:w="5812"/>
        <w:gridCol w:w="1359"/>
      </w:tblGrid>
      <w:tr w:rsidR="00A06425" w:rsidRPr="00A06425" w:rsidTr="00B36A64">
        <w:trPr>
          <w:jc w:val="center"/>
        </w:trPr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B36A64" w:rsidRDefault="00A06425" w:rsidP="00B36A6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6A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850869" w:rsidRPr="00B36A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96CA8" w:rsidRPr="00B36A64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850869" w:rsidRPr="00B36A64">
              <w:rPr>
                <w:rFonts w:asciiTheme="minorHAnsi" w:hAnsiTheme="minorHAnsi" w:cstheme="minorHAnsi"/>
                <w:sz w:val="22"/>
                <w:szCs w:val="22"/>
              </w:rPr>
              <w:t>rojekt uchwały Rady Ministrów w sprawie Krajowego Planu działania do programu polityki „Droga k</w:t>
            </w:r>
            <w:r w:rsidR="00B36A64" w:rsidRPr="00B36A64">
              <w:rPr>
                <w:rFonts w:asciiTheme="minorHAnsi" w:hAnsiTheme="minorHAnsi" w:cstheme="minorHAnsi"/>
                <w:sz w:val="22"/>
                <w:szCs w:val="22"/>
              </w:rPr>
              <w:t>u cyfrowej dekadzie” do 2030 r.</w:t>
            </w:r>
          </w:p>
        </w:tc>
      </w:tr>
      <w:tr w:rsidR="00A06425" w:rsidRPr="00A06425" w:rsidTr="00B36A64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850869" w:rsidRPr="00A06425" w:rsidTr="00B36A64">
        <w:trPr>
          <w:jc w:val="center"/>
        </w:trPr>
        <w:tc>
          <w:tcPr>
            <w:tcW w:w="562" w:type="dxa"/>
            <w:shd w:val="clear" w:color="auto" w:fill="auto"/>
          </w:tcPr>
          <w:p w:rsidR="00850869" w:rsidRPr="00A06425" w:rsidRDefault="00850869" w:rsidP="0085086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850869" w:rsidRPr="00A06425" w:rsidRDefault="00850869" w:rsidP="00B36A6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MAP</w:t>
            </w:r>
          </w:p>
        </w:tc>
        <w:tc>
          <w:tcPr>
            <w:tcW w:w="1559" w:type="dxa"/>
            <w:shd w:val="clear" w:color="auto" w:fill="auto"/>
          </w:tcPr>
          <w:p w:rsidR="00850869" w:rsidRPr="00A06425" w:rsidRDefault="00850869" w:rsidP="00B36A6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4678" w:type="dxa"/>
            <w:shd w:val="clear" w:color="auto" w:fill="auto"/>
          </w:tcPr>
          <w:p w:rsidR="00850869" w:rsidRDefault="00850869" w:rsidP="00B36A64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Dokument niedostatecznie podkreśla zagrożenia, jakie platformy cyfrowe mogą stanowić dla rozwoju e-Commerce. Niekontrolowany wzrost znaczenia i skali platform cyfrowych (jak np. Amazon) prowadzi do ich dominacji na rynku </w:t>
            </w:r>
            <w:r w:rsidR="00B36A6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e-Commerce, podobnego do dominacji platform społecznościowych (Facebook, Meta, X). Brak regulacji na obecnym etapie może p</w:t>
            </w:r>
            <w:r w:rsidR="00B36A64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owadzić do sytuacji, gdy:</w:t>
            </w:r>
          </w:p>
          <w:p w:rsidR="00850869" w:rsidRDefault="00850869" w:rsidP="0085086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1) platformy cyfrowe e-Commerce osiągną analogiczną </w:t>
            </w:r>
            <w:r w:rsidR="00B36A64">
              <w:rPr>
                <w:rFonts w:asciiTheme="minorHAnsi" w:hAnsiTheme="minorHAnsi" w:cstheme="minorHAnsi"/>
                <w:sz w:val="22"/>
                <w:szCs w:val="22"/>
              </w:rPr>
              <w:t xml:space="preserve">pozycję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 mediów społecznościowych, która pozwala im unikać regulacji państw i instytucji międzynarodowych</w:t>
            </w:r>
            <w:r w:rsidR="00B36A64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="00850869" w:rsidRDefault="00850869" w:rsidP="0085086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2) organizacja platform, które obsługują całość procesu zakupu (zarówno zamówienia, jak </w:t>
            </w:r>
            <w:r w:rsidR="00B36A6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doręczenia)</w:t>
            </w:r>
            <w:r w:rsidR="00B36A6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powoduje silne uzależnienie przedsiębiorców oferujących swoje produkty za pośrednictwem platformy (podobnie jak ma to miejsce w przypadku małych przedsiębiorców dostarczających towary do supermarketów), marginalizację przedsiębiorców działa</w:t>
            </w:r>
            <w:r w:rsidR="00B36A64">
              <w:rPr>
                <w:rFonts w:asciiTheme="minorHAnsi" w:hAnsiTheme="minorHAnsi" w:cstheme="minorHAnsi"/>
                <w:sz w:val="22"/>
                <w:szCs w:val="22"/>
              </w:rPr>
              <w:t>jących na własny rachunek oraz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przedsiębiorców oferujących usługi doręczeń (operatorzy pocztowi, firmy kurierskie, firmy transportowe)</w:t>
            </w:r>
            <w:r w:rsidR="00B36A64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="00850869" w:rsidRPr="00A06425" w:rsidRDefault="00850869" w:rsidP="00B36A64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3) niedostatecznie uregulowany status platform powoduje nierówną pozycję klienta (np. </w:t>
            </w:r>
            <w:r w:rsidR="00B36A6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procesie reklamacji czy mediacji pozasądowych).</w:t>
            </w:r>
          </w:p>
        </w:tc>
        <w:tc>
          <w:tcPr>
            <w:tcW w:w="5812" w:type="dxa"/>
            <w:shd w:val="clear" w:color="auto" w:fill="auto"/>
          </w:tcPr>
          <w:p w:rsidR="00850869" w:rsidRPr="00A06425" w:rsidRDefault="00B36A64" w:rsidP="00B36A64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 się</w:t>
            </w:r>
            <w:r w:rsidR="00850869">
              <w:rPr>
                <w:rFonts w:asciiTheme="minorHAnsi" w:hAnsiTheme="minorHAnsi" w:cstheme="minorHAnsi"/>
                <w:sz w:val="22"/>
                <w:szCs w:val="22"/>
              </w:rPr>
              <w:t xml:space="preserve"> odniesienie do kwestii regulacji działalności platform e-commerce oraz ich relacji z podmiotami uczestniczącym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w łańcuchu dostaw (producenci, sprzedawcy, pracownicy, podmioty doręczające, klienci</w:t>
            </w:r>
            <w:r w:rsidR="00850869">
              <w:rPr>
                <w:rFonts w:asciiTheme="minorHAnsi" w:hAnsiTheme="minorHAnsi" w:cstheme="minorHAnsi"/>
                <w:sz w:val="22"/>
                <w:szCs w:val="22"/>
              </w:rPr>
              <w:t>). Ze względu na globalny zasięg działalności platform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850869">
              <w:rPr>
                <w:rFonts w:asciiTheme="minorHAnsi" w:hAnsiTheme="minorHAnsi" w:cstheme="minorHAnsi"/>
                <w:sz w:val="22"/>
                <w:szCs w:val="22"/>
              </w:rPr>
              <w:t xml:space="preserve"> konieczne jest podejmowanie działań międzynarodowych – wydaje się, że działania podejmowane wyłącznie na poszczególnych rynkach krajowych już na obecnym etapie roz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woju platform będą nieskuteczne</w:t>
            </w:r>
            <w:r w:rsidR="0085086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850869" w:rsidRPr="00A06425" w:rsidRDefault="00850869" w:rsidP="008508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50869" w:rsidRPr="00A06425" w:rsidTr="00B36A64">
        <w:trPr>
          <w:jc w:val="center"/>
        </w:trPr>
        <w:tc>
          <w:tcPr>
            <w:tcW w:w="562" w:type="dxa"/>
            <w:shd w:val="clear" w:color="auto" w:fill="auto"/>
          </w:tcPr>
          <w:p w:rsidR="00850869" w:rsidRPr="00A06425" w:rsidRDefault="00850869" w:rsidP="0085086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418" w:type="dxa"/>
            <w:shd w:val="clear" w:color="auto" w:fill="auto"/>
          </w:tcPr>
          <w:p w:rsidR="00850869" w:rsidRPr="009C1813" w:rsidRDefault="006E090C" w:rsidP="00B36A6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1813">
              <w:rPr>
                <w:rFonts w:asciiTheme="minorHAnsi" w:hAnsiTheme="minorHAnsi" w:cstheme="minorHAnsi"/>
                <w:b/>
                <w:sz w:val="22"/>
                <w:szCs w:val="22"/>
              </w:rPr>
              <w:t>MAP</w:t>
            </w:r>
          </w:p>
        </w:tc>
        <w:tc>
          <w:tcPr>
            <w:tcW w:w="1559" w:type="dxa"/>
            <w:shd w:val="clear" w:color="auto" w:fill="auto"/>
          </w:tcPr>
          <w:p w:rsidR="00850869" w:rsidRPr="00B36A64" w:rsidRDefault="00850869" w:rsidP="00B36A64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B36A64">
              <w:rPr>
                <w:rFonts w:asciiTheme="minorHAnsi" w:hAnsiTheme="minorHAnsi" w:cstheme="minorHAnsi"/>
                <w:sz w:val="20"/>
                <w:szCs w:val="20"/>
              </w:rPr>
              <w:t>3. Cele cyfrowe:</w:t>
            </w:r>
            <w:r w:rsidR="00B36A64" w:rsidRPr="00B36A6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36A64">
              <w:rPr>
                <w:rFonts w:asciiTheme="minorHAnsi" w:hAnsiTheme="minorHAnsi" w:cstheme="minorHAnsi"/>
                <w:sz w:val="20"/>
                <w:szCs w:val="20"/>
              </w:rPr>
              <w:t xml:space="preserve">polityki, środki </w:t>
            </w:r>
            <w:r w:rsidR="00B23AE6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B36A64">
              <w:rPr>
                <w:rFonts w:asciiTheme="minorHAnsi" w:hAnsiTheme="minorHAnsi" w:cstheme="minorHAnsi"/>
                <w:sz w:val="20"/>
                <w:szCs w:val="20"/>
              </w:rPr>
              <w:t>i działania</w:t>
            </w:r>
          </w:p>
          <w:p w:rsidR="00850869" w:rsidRPr="00B36A64" w:rsidRDefault="00850869" w:rsidP="00B36A6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36A64">
              <w:rPr>
                <w:rFonts w:asciiTheme="minorHAnsi" w:hAnsiTheme="minorHAnsi" w:cstheme="minorHAnsi"/>
                <w:sz w:val="20"/>
                <w:szCs w:val="20"/>
              </w:rPr>
              <w:t>3.2. Opis środków</w:t>
            </w:r>
          </w:p>
          <w:p w:rsidR="00850869" w:rsidRPr="00B36A64" w:rsidRDefault="00850869" w:rsidP="00B36A6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36A64">
              <w:rPr>
                <w:rFonts w:asciiTheme="minorHAnsi" w:hAnsiTheme="minorHAnsi" w:cstheme="minorHAnsi"/>
                <w:sz w:val="20"/>
                <w:szCs w:val="20"/>
              </w:rPr>
              <w:t>3.2.3</w:t>
            </w:r>
            <w:r w:rsidR="00B36A64" w:rsidRPr="00B36A6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B36A64">
              <w:rPr>
                <w:rFonts w:asciiTheme="minorHAnsi" w:hAnsiTheme="minorHAnsi" w:cstheme="minorHAnsi"/>
                <w:sz w:val="20"/>
                <w:szCs w:val="20"/>
              </w:rPr>
              <w:t>Transformacja cyfrowa p</w:t>
            </w:r>
            <w:r w:rsidR="00B36A64" w:rsidRPr="00B36A64">
              <w:rPr>
                <w:rFonts w:asciiTheme="minorHAnsi" w:hAnsiTheme="minorHAnsi" w:cstheme="minorHAnsi"/>
                <w:sz w:val="20"/>
                <w:szCs w:val="20"/>
              </w:rPr>
              <w:t>rzedsiębiorst</w:t>
            </w:r>
            <w:r w:rsidRPr="00B36A64">
              <w:rPr>
                <w:rFonts w:asciiTheme="minorHAnsi" w:hAnsiTheme="minorHAnsi" w:cstheme="minorHAnsi"/>
                <w:sz w:val="20"/>
                <w:szCs w:val="20"/>
              </w:rPr>
              <w:t>w</w:t>
            </w:r>
          </w:p>
          <w:p w:rsidR="00850869" w:rsidRPr="00B36A64" w:rsidRDefault="00850869" w:rsidP="00B36A6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36A64">
              <w:rPr>
                <w:rFonts w:asciiTheme="minorHAnsi" w:hAnsiTheme="minorHAnsi" w:cstheme="minorHAnsi"/>
                <w:sz w:val="20"/>
                <w:szCs w:val="20"/>
              </w:rPr>
              <w:t>(TCP.I.8.DIG.IT</w:t>
            </w:r>
          </w:p>
          <w:p w:rsidR="00850869" w:rsidRPr="00B36A64" w:rsidRDefault="00850869" w:rsidP="00B36A6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36A64">
              <w:rPr>
                <w:rFonts w:asciiTheme="minorHAnsi" w:hAnsiTheme="minorHAnsi" w:cstheme="minorHAnsi"/>
                <w:sz w:val="20"/>
                <w:szCs w:val="20"/>
              </w:rPr>
              <w:t>Transformacja cyfrowa polskich</w:t>
            </w:r>
          </w:p>
          <w:p w:rsidR="00850869" w:rsidRPr="00B36A64" w:rsidRDefault="00850869" w:rsidP="00B36A6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36A64">
              <w:rPr>
                <w:rFonts w:asciiTheme="minorHAnsi" w:hAnsiTheme="minorHAnsi" w:cstheme="minorHAnsi"/>
                <w:sz w:val="20"/>
                <w:szCs w:val="20"/>
              </w:rPr>
              <w:t>MŚP)</w:t>
            </w:r>
          </w:p>
        </w:tc>
        <w:tc>
          <w:tcPr>
            <w:tcW w:w="4678" w:type="dxa"/>
            <w:shd w:val="clear" w:color="auto" w:fill="auto"/>
          </w:tcPr>
          <w:p w:rsidR="00850869" w:rsidRDefault="00850869" w:rsidP="00B23AE6">
            <w:p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50869">
              <w:rPr>
                <w:rFonts w:asciiTheme="minorHAnsi" w:hAnsiTheme="minorHAnsi" w:cstheme="minorHAnsi"/>
                <w:sz w:val="22"/>
                <w:szCs w:val="22"/>
              </w:rPr>
              <w:t>W części „KRÓTKI OPIS ŚRODKA”</w:t>
            </w:r>
            <w:r w:rsidR="00B23AE6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850869">
              <w:rPr>
                <w:rFonts w:asciiTheme="minorHAnsi" w:hAnsiTheme="minorHAnsi" w:cstheme="minorHAnsi"/>
                <w:sz w:val="22"/>
                <w:szCs w:val="22"/>
              </w:rPr>
              <w:t xml:space="preserve"> zgodnie </w:t>
            </w:r>
            <w:r w:rsidR="00B23AE6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50869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B23A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50869">
              <w:rPr>
                <w:rFonts w:asciiTheme="minorHAnsi" w:hAnsiTheme="minorHAnsi" w:cstheme="minorHAnsi"/>
                <w:sz w:val="22"/>
                <w:szCs w:val="22"/>
              </w:rPr>
              <w:t>ustaleniami z Ministerstwem Funduszy i</w:t>
            </w:r>
            <w:r w:rsidR="00B23AE6">
              <w:rPr>
                <w:rFonts w:asciiTheme="minorHAnsi" w:hAnsiTheme="minorHAnsi" w:cstheme="minorHAnsi"/>
                <w:sz w:val="22"/>
                <w:szCs w:val="22"/>
              </w:rPr>
              <w:t xml:space="preserve"> Polityki Regionalnej, proponuje się </w:t>
            </w:r>
            <w:r w:rsidRPr="00850869">
              <w:rPr>
                <w:rFonts w:asciiTheme="minorHAnsi" w:hAnsiTheme="minorHAnsi" w:cstheme="minorHAnsi"/>
                <w:sz w:val="22"/>
                <w:szCs w:val="22"/>
              </w:rPr>
              <w:t>następujące zmiany:</w:t>
            </w:r>
          </w:p>
          <w:p w:rsidR="00850869" w:rsidRDefault="00B23AE6" w:rsidP="00B23AE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odstąpić</w:t>
            </w:r>
            <w:r w:rsidR="00850869" w:rsidRPr="00B23AE6">
              <w:rPr>
                <w:rFonts w:asciiTheme="minorHAnsi" w:hAnsiTheme="minorHAnsi" w:cstheme="minorHAnsi"/>
                <w:sz w:val="22"/>
                <w:szCs w:val="22"/>
              </w:rPr>
              <w:t xml:space="preserve"> od komponentu doradztwa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50869" w:rsidRPr="00B23AE6">
              <w:rPr>
                <w:rFonts w:asciiTheme="minorHAnsi" w:hAnsiTheme="minorHAnsi" w:cstheme="minorHAnsi"/>
                <w:sz w:val="22"/>
                <w:szCs w:val="22"/>
              </w:rPr>
              <w:t>przedwdrożeniowego;</w:t>
            </w:r>
          </w:p>
          <w:p w:rsidR="00850869" w:rsidRDefault="00B23AE6" w:rsidP="00B23AE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dodać</w:t>
            </w:r>
            <w:r w:rsidR="00850869" w:rsidRPr="00B23AE6">
              <w:rPr>
                <w:rFonts w:asciiTheme="minorHAnsi" w:hAnsiTheme="minorHAnsi" w:cstheme="minorHAnsi"/>
                <w:sz w:val="22"/>
                <w:szCs w:val="22"/>
              </w:rPr>
              <w:t xml:space="preserve"> informację o możliwości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50869" w:rsidRPr="00B23AE6">
              <w:rPr>
                <w:rFonts w:asciiTheme="minorHAnsi" w:hAnsiTheme="minorHAnsi" w:cstheme="minorHAnsi"/>
                <w:sz w:val="22"/>
                <w:szCs w:val="22"/>
              </w:rPr>
              <w:t>sfinansowania szkoleń dla personelu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50869" w:rsidRPr="00B23AE6">
              <w:rPr>
                <w:rFonts w:asciiTheme="minorHAnsi" w:hAnsiTheme="minorHAnsi" w:cstheme="minorHAnsi"/>
                <w:sz w:val="22"/>
                <w:szCs w:val="22"/>
              </w:rPr>
              <w:t xml:space="preserve">przedsiębiorstw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850869" w:rsidRPr="00B23AE6">
              <w:rPr>
                <w:rFonts w:asciiTheme="minorHAnsi" w:hAnsiTheme="minorHAnsi" w:cstheme="minorHAnsi"/>
                <w:sz w:val="22"/>
                <w:szCs w:val="22"/>
              </w:rPr>
              <w:t>z zakresu wdrażanych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50869" w:rsidRPr="00B23AE6">
              <w:rPr>
                <w:rFonts w:asciiTheme="minorHAnsi" w:hAnsiTheme="minorHAnsi" w:cstheme="minorHAnsi"/>
                <w:sz w:val="22"/>
                <w:szCs w:val="22"/>
              </w:rPr>
              <w:t>technologii cyfrowych;</w:t>
            </w:r>
          </w:p>
          <w:p w:rsidR="00850869" w:rsidRDefault="00B23AE6" w:rsidP="00B23AE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ująć</w:t>
            </w:r>
            <w:r w:rsidR="00850869" w:rsidRPr="00B23AE6">
              <w:rPr>
                <w:rFonts w:asciiTheme="minorHAnsi" w:hAnsiTheme="minorHAnsi" w:cstheme="minorHAnsi"/>
                <w:sz w:val="22"/>
                <w:szCs w:val="22"/>
              </w:rPr>
              <w:t xml:space="preserve"> informację o możliwości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50869" w:rsidRPr="00B23AE6">
              <w:rPr>
                <w:rFonts w:asciiTheme="minorHAnsi" w:hAnsiTheme="minorHAnsi" w:cstheme="minorHAnsi"/>
                <w:sz w:val="22"/>
                <w:szCs w:val="22"/>
              </w:rPr>
              <w:t xml:space="preserve">sfinansowania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850869" w:rsidRPr="00B23AE6">
              <w:rPr>
                <w:rFonts w:asciiTheme="minorHAnsi" w:hAnsiTheme="minorHAnsi" w:cstheme="minorHAnsi"/>
                <w:sz w:val="22"/>
                <w:szCs w:val="22"/>
              </w:rPr>
              <w:t>w ramach grantu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50869" w:rsidRPr="00B23AE6">
              <w:rPr>
                <w:rFonts w:asciiTheme="minorHAnsi" w:hAnsiTheme="minorHAnsi" w:cstheme="minorHAnsi"/>
                <w:sz w:val="22"/>
                <w:szCs w:val="22"/>
              </w:rPr>
              <w:t>ograniczonym zakresie środków trwałych;</w:t>
            </w:r>
          </w:p>
          <w:p w:rsidR="00850869" w:rsidRPr="00B23AE6" w:rsidRDefault="00B23AE6" w:rsidP="00B23AE6">
            <w:pPr>
              <w:pStyle w:val="Akapitzlist"/>
              <w:numPr>
                <w:ilvl w:val="0"/>
                <w:numId w:val="1"/>
              </w:numPr>
              <w:spacing w:after="120"/>
              <w:ind w:left="357" w:hanging="3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uszczegółowić</w:t>
            </w:r>
            <w:r w:rsidR="00850869" w:rsidRPr="00B23AE6">
              <w:rPr>
                <w:rFonts w:asciiTheme="minorHAnsi" w:hAnsiTheme="minorHAnsi" w:cstheme="minorHAnsi"/>
                <w:sz w:val="22"/>
                <w:szCs w:val="22"/>
              </w:rPr>
              <w:t xml:space="preserve"> grupę docelową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50869" w:rsidRPr="00B23AE6">
              <w:rPr>
                <w:rFonts w:asciiTheme="minorHAnsi" w:hAnsiTheme="minorHAnsi" w:cstheme="minorHAnsi"/>
                <w:sz w:val="22"/>
                <w:szCs w:val="22"/>
              </w:rPr>
              <w:t>wsparcia.</w:t>
            </w:r>
          </w:p>
        </w:tc>
        <w:tc>
          <w:tcPr>
            <w:tcW w:w="5812" w:type="dxa"/>
            <w:shd w:val="clear" w:color="auto" w:fill="auto"/>
          </w:tcPr>
          <w:p w:rsidR="00850869" w:rsidRPr="00850869" w:rsidRDefault="00850869" w:rsidP="00B23AE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50869">
              <w:rPr>
                <w:rFonts w:asciiTheme="minorHAnsi" w:hAnsiTheme="minorHAnsi" w:cstheme="minorHAnsi"/>
                <w:sz w:val="22"/>
                <w:szCs w:val="22"/>
              </w:rPr>
              <w:t>Propozycja nowego zapisu:</w:t>
            </w:r>
          </w:p>
          <w:p w:rsidR="00850869" w:rsidRPr="00850869" w:rsidRDefault="00B23AE6" w:rsidP="00B23AE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850869" w:rsidRPr="00850869">
              <w:rPr>
                <w:rFonts w:asciiTheme="minorHAnsi" w:hAnsiTheme="minorHAnsi" w:cstheme="minorHAnsi"/>
                <w:sz w:val="22"/>
                <w:szCs w:val="22"/>
              </w:rPr>
              <w:t>Podstawowym zadaniem realizowanym w projekcie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50869" w:rsidRPr="00850869">
              <w:rPr>
                <w:rFonts w:asciiTheme="minorHAnsi" w:hAnsiTheme="minorHAnsi" w:cstheme="minorHAnsi"/>
                <w:sz w:val="22"/>
                <w:szCs w:val="22"/>
              </w:rPr>
              <w:t>niekonkurencyjny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 będzie udzielanie grantów MŚP </w:t>
            </w:r>
            <w:r w:rsidR="00850869" w:rsidRPr="00850869">
              <w:rPr>
                <w:rFonts w:asciiTheme="minorHAnsi" w:hAnsiTheme="minorHAnsi" w:cstheme="minorHAnsi"/>
                <w:sz w:val="22"/>
                <w:szCs w:val="22"/>
              </w:rPr>
              <w:t xml:space="preserve">na zakup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850869" w:rsidRPr="00850869">
              <w:rPr>
                <w:rFonts w:asciiTheme="minorHAnsi" w:hAnsiTheme="minorHAnsi" w:cstheme="minorHAnsi"/>
                <w:sz w:val="22"/>
                <w:szCs w:val="22"/>
              </w:rPr>
              <w:t>i wdrożenie rozwiązań IT służących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50869" w:rsidRPr="00850869">
              <w:rPr>
                <w:rFonts w:asciiTheme="minorHAnsi" w:hAnsiTheme="minorHAnsi" w:cstheme="minorHAnsi"/>
                <w:sz w:val="22"/>
                <w:szCs w:val="22"/>
              </w:rPr>
              <w:t>transformacji cyfrow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ej. Wsparcie przeznaczone zostanie </w:t>
            </w:r>
            <w:r w:rsidR="00850869" w:rsidRPr="00850869">
              <w:rPr>
                <w:rFonts w:asciiTheme="minorHAnsi" w:hAnsiTheme="minorHAnsi" w:cstheme="minorHAnsi"/>
                <w:sz w:val="22"/>
                <w:szCs w:val="22"/>
              </w:rPr>
              <w:t>na zakup gotowych rozwiązań (w formie licencji lub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50869" w:rsidRPr="00850869"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aw własności do technologii) bądź</w:t>
            </w:r>
            <w:r w:rsidR="00850869" w:rsidRPr="00850869">
              <w:rPr>
                <w:rFonts w:asciiTheme="minorHAnsi" w:hAnsiTheme="minorHAnsi" w:cstheme="minorHAnsi"/>
                <w:sz w:val="22"/>
                <w:szCs w:val="22"/>
              </w:rPr>
              <w:t xml:space="preserve"> na zlecone prace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50869" w:rsidRPr="00850869">
              <w:rPr>
                <w:rFonts w:asciiTheme="minorHAnsi" w:hAnsiTheme="minorHAnsi" w:cstheme="minorHAnsi"/>
                <w:sz w:val="22"/>
                <w:szCs w:val="22"/>
              </w:rPr>
              <w:t>programistyczne. In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ną formą wsparcia dla MŚP </w:t>
            </w:r>
            <w:r w:rsidR="00850869" w:rsidRPr="00850869">
              <w:rPr>
                <w:rFonts w:asciiTheme="minorHAnsi" w:hAnsiTheme="minorHAnsi" w:cstheme="minorHAnsi"/>
                <w:sz w:val="22"/>
                <w:szCs w:val="22"/>
              </w:rPr>
              <w:t>będzie także szkolenie pracowników z zakresu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50869" w:rsidRPr="00850869">
              <w:rPr>
                <w:rFonts w:asciiTheme="minorHAnsi" w:hAnsiTheme="minorHAnsi" w:cstheme="minorHAnsi"/>
                <w:sz w:val="22"/>
                <w:szCs w:val="22"/>
              </w:rPr>
              <w:t>wdrożonej technologii. W ograniczonym zakresie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zostanie</w:t>
            </w:r>
            <w:r w:rsidR="00850869" w:rsidRPr="00850869">
              <w:rPr>
                <w:rFonts w:asciiTheme="minorHAnsi" w:hAnsiTheme="minorHAnsi" w:cstheme="minorHAnsi"/>
                <w:sz w:val="22"/>
                <w:szCs w:val="22"/>
              </w:rPr>
              <w:t xml:space="preserve"> też możliwość sfinansowania zakupu środków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50869" w:rsidRPr="00850869">
              <w:rPr>
                <w:rFonts w:asciiTheme="minorHAnsi" w:hAnsiTheme="minorHAnsi" w:cstheme="minorHAnsi"/>
                <w:sz w:val="22"/>
                <w:szCs w:val="22"/>
              </w:rPr>
              <w:t>trwałych, które są niezbędne do realizacji projektów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50869" w:rsidRPr="00850869">
              <w:rPr>
                <w:rFonts w:asciiTheme="minorHAnsi" w:hAnsiTheme="minorHAnsi" w:cstheme="minorHAnsi"/>
                <w:sz w:val="22"/>
                <w:szCs w:val="22"/>
              </w:rPr>
              <w:t>transformacji cyfrowej. Projekt realizowany jest 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50869" w:rsidRPr="00850869">
              <w:rPr>
                <w:rFonts w:asciiTheme="minorHAnsi" w:hAnsiTheme="minorHAnsi" w:cstheme="minorHAnsi"/>
                <w:sz w:val="22"/>
                <w:szCs w:val="22"/>
              </w:rPr>
              <w:t>zasadzie projektu grantowego. Środek będzie służył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50869" w:rsidRPr="00850869">
              <w:rPr>
                <w:rFonts w:asciiTheme="minorHAnsi" w:hAnsiTheme="minorHAnsi" w:cstheme="minorHAnsi"/>
                <w:sz w:val="22"/>
                <w:szCs w:val="22"/>
              </w:rPr>
              <w:t>realizacji wszystkich celów cyfrowych w obszarze</w:t>
            </w:r>
          </w:p>
          <w:p w:rsidR="00850869" w:rsidRPr="00A06425" w:rsidRDefault="00850869" w:rsidP="00B23AE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50869">
              <w:rPr>
                <w:rFonts w:asciiTheme="minorHAnsi" w:hAnsiTheme="minorHAnsi" w:cstheme="minorHAnsi"/>
                <w:sz w:val="22"/>
                <w:szCs w:val="22"/>
              </w:rPr>
              <w:t>transformacji cyfrowej przedsiębiorstw.</w:t>
            </w:r>
            <w:r w:rsidR="00B23A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50869">
              <w:rPr>
                <w:rFonts w:asciiTheme="minorHAnsi" w:hAnsiTheme="minorHAnsi" w:cstheme="minorHAnsi"/>
                <w:sz w:val="22"/>
                <w:szCs w:val="22"/>
              </w:rPr>
              <w:t>Środek jest adresowany do MŚP działających w branży</w:t>
            </w:r>
            <w:r w:rsidR="00B23AE6">
              <w:rPr>
                <w:rFonts w:asciiTheme="minorHAnsi" w:hAnsiTheme="minorHAnsi" w:cstheme="minorHAnsi"/>
                <w:sz w:val="22"/>
                <w:szCs w:val="22"/>
              </w:rPr>
              <w:t xml:space="preserve"> przetwórstwa przemysłowego</w:t>
            </w:r>
            <w:r w:rsidRPr="00850869">
              <w:rPr>
                <w:rFonts w:asciiTheme="minorHAnsi" w:hAnsiTheme="minorHAnsi" w:cstheme="minorHAnsi"/>
                <w:sz w:val="22"/>
                <w:szCs w:val="22"/>
              </w:rPr>
              <w:t xml:space="preserve"> bądź usług</w:t>
            </w:r>
            <w:r w:rsidR="00B23A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50869">
              <w:rPr>
                <w:rFonts w:asciiTheme="minorHAnsi" w:hAnsiTheme="minorHAnsi" w:cstheme="minorHAnsi"/>
                <w:sz w:val="22"/>
                <w:szCs w:val="22"/>
              </w:rPr>
              <w:t>produkcyjnych. Przeprowadzona analiza danych</w:t>
            </w:r>
            <w:r w:rsidR="00B23AE6">
              <w:rPr>
                <w:rFonts w:asciiTheme="minorHAnsi" w:hAnsiTheme="minorHAnsi" w:cstheme="minorHAnsi"/>
                <w:sz w:val="22"/>
                <w:szCs w:val="22"/>
              </w:rPr>
              <w:t xml:space="preserve"> wskazuje, </w:t>
            </w:r>
            <w:r w:rsidRPr="00850869">
              <w:rPr>
                <w:rFonts w:asciiTheme="minorHAnsi" w:hAnsiTheme="minorHAnsi" w:cstheme="minorHAnsi"/>
                <w:sz w:val="22"/>
                <w:szCs w:val="22"/>
              </w:rPr>
              <w:t>ż</w:t>
            </w:r>
            <w:r w:rsidR="00B23AE6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850869">
              <w:rPr>
                <w:rFonts w:asciiTheme="minorHAnsi" w:hAnsiTheme="minorHAnsi" w:cstheme="minorHAnsi"/>
                <w:sz w:val="22"/>
                <w:szCs w:val="22"/>
              </w:rPr>
              <w:t xml:space="preserve"> to właśnie w tej grupie przedsiębiorców z</w:t>
            </w:r>
            <w:r w:rsidR="00B23A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50869">
              <w:rPr>
                <w:rFonts w:asciiTheme="minorHAnsi" w:hAnsiTheme="minorHAnsi" w:cstheme="minorHAnsi"/>
                <w:sz w:val="22"/>
                <w:szCs w:val="22"/>
              </w:rPr>
              <w:t>sektora MŚP, wsparcie cyfryzacji jest najbardziej</w:t>
            </w:r>
            <w:r w:rsidR="00B23A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50869">
              <w:rPr>
                <w:rFonts w:asciiTheme="minorHAnsi" w:hAnsiTheme="minorHAnsi" w:cstheme="minorHAnsi"/>
                <w:sz w:val="22"/>
                <w:szCs w:val="22"/>
              </w:rPr>
              <w:t>konieczne. Przedsiębiorstwa te bowiem charakteryzują</w:t>
            </w:r>
            <w:r w:rsidR="00B23A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50869">
              <w:rPr>
                <w:rFonts w:asciiTheme="minorHAnsi" w:hAnsiTheme="minorHAnsi" w:cstheme="minorHAnsi"/>
                <w:sz w:val="22"/>
                <w:szCs w:val="22"/>
              </w:rPr>
              <w:t>się relatywnie niskim poziomem dojrzałości cyfrowej na</w:t>
            </w:r>
            <w:r w:rsidR="00B23A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50869">
              <w:rPr>
                <w:rFonts w:asciiTheme="minorHAnsi" w:hAnsiTheme="minorHAnsi" w:cstheme="minorHAnsi"/>
                <w:sz w:val="22"/>
                <w:szCs w:val="22"/>
              </w:rPr>
              <w:t xml:space="preserve">tle pozostałych sektorów. Cyfryzacja </w:t>
            </w:r>
            <w:r w:rsidR="00B23AE6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50869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B23A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50869">
              <w:rPr>
                <w:rFonts w:asciiTheme="minorHAnsi" w:hAnsiTheme="minorHAnsi" w:cstheme="minorHAnsi"/>
                <w:sz w:val="22"/>
                <w:szCs w:val="22"/>
              </w:rPr>
              <w:t>przedsiębiorstwach produkcyjnych w znacznym</w:t>
            </w:r>
            <w:r w:rsidR="00B23A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50869">
              <w:rPr>
                <w:rFonts w:asciiTheme="minorHAnsi" w:hAnsiTheme="minorHAnsi" w:cstheme="minorHAnsi"/>
                <w:sz w:val="22"/>
                <w:szCs w:val="22"/>
              </w:rPr>
              <w:t>stopniu wpływa na wzrost produktywności. Jest</w:t>
            </w:r>
            <w:r w:rsidR="00B23A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50869">
              <w:rPr>
                <w:rFonts w:asciiTheme="minorHAnsi" w:hAnsiTheme="minorHAnsi" w:cstheme="minorHAnsi"/>
                <w:sz w:val="22"/>
                <w:szCs w:val="22"/>
              </w:rPr>
              <w:t>również odpowiedzią na problemy demograficzne i</w:t>
            </w:r>
            <w:r w:rsidR="00B23A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50869">
              <w:rPr>
                <w:rFonts w:asciiTheme="minorHAnsi" w:hAnsiTheme="minorHAnsi" w:cstheme="minorHAnsi"/>
                <w:sz w:val="22"/>
                <w:szCs w:val="22"/>
              </w:rPr>
              <w:t>niskie zasoby pracowników technicznych. Ponadto</w:t>
            </w:r>
            <w:r w:rsidR="00B23AE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850869">
              <w:rPr>
                <w:rFonts w:asciiTheme="minorHAnsi" w:hAnsiTheme="minorHAnsi" w:cstheme="minorHAnsi"/>
                <w:sz w:val="22"/>
                <w:szCs w:val="22"/>
              </w:rPr>
              <w:t>firmy z sektora przetwórstwa przemysłowego oraz</w:t>
            </w:r>
            <w:r w:rsidR="00B23AE6">
              <w:rPr>
                <w:rFonts w:asciiTheme="minorHAnsi" w:hAnsiTheme="minorHAnsi" w:cstheme="minorHAnsi"/>
                <w:sz w:val="22"/>
                <w:szCs w:val="22"/>
              </w:rPr>
              <w:t xml:space="preserve"> usług produkcyjnych</w:t>
            </w:r>
            <w:r w:rsidRPr="00850869">
              <w:rPr>
                <w:rFonts w:asciiTheme="minorHAnsi" w:hAnsiTheme="minorHAnsi" w:cstheme="minorHAnsi"/>
                <w:sz w:val="22"/>
                <w:szCs w:val="22"/>
              </w:rPr>
              <w:t xml:space="preserve"> charakteryzują się większą złożonością procesów i obszarów wewnątrz jednego</w:t>
            </w:r>
            <w:r w:rsidR="00B23A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50869">
              <w:rPr>
                <w:rFonts w:asciiTheme="minorHAnsi" w:hAnsiTheme="minorHAnsi" w:cstheme="minorHAnsi"/>
                <w:sz w:val="22"/>
                <w:szCs w:val="22"/>
              </w:rPr>
              <w:t>podmiotu (występują jednocześnie działy produkcyjne,</w:t>
            </w:r>
            <w:r w:rsidR="00B23A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50869">
              <w:rPr>
                <w:rFonts w:asciiTheme="minorHAnsi" w:hAnsiTheme="minorHAnsi" w:cstheme="minorHAnsi"/>
                <w:sz w:val="22"/>
                <w:szCs w:val="22"/>
              </w:rPr>
              <w:t>utrzymanie ruchu, kontrola jakości, handlowe,</w:t>
            </w:r>
            <w:r w:rsidR="00B23A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50869">
              <w:rPr>
                <w:rFonts w:asciiTheme="minorHAnsi" w:hAnsiTheme="minorHAnsi" w:cstheme="minorHAnsi"/>
                <w:sz w:val="22"/>
                <w:szCs w:val="22"/>
              </w:rPr>
              <w:t>magazynowe, transportowe, administracyjne,</w:t>
            </w:r>
            <w:r w:rsidR="00B23A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50869">
              <w:rPr>
                <w:rFonts w:asciiTheme="minorHAnsi" w:hAnsiTheme="minorHAnsi" w:cstheme="minorHAnsi"/>
                <w:sz w:val="22"/>
                <w:szCs w:val="22"/>
              </w:rPr>
              <w:t xml:space="preserve">zarządcze, udział maszyn </w:t>
            </w:r>
            <w:r w:rsidR="00B23AE6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w procesie wytwórczym </w:t>
            </w:r>
            <w:r w:rsidRPr="00850869">
              <w:rPr>
                <w:rFonts w:asciiTheme="minorHAnsi" w:hAnsiTheme="minorHAnsi" w:cstheme="minorHAnsi"/>
                <w:sz w:val="22"/>
                <w:szCs w:val="22"/>
              </w:rPr>
              <w:t>itd.). Tym samym proces transformacji cyfrowej jest dla</w:t>
            </w:r>
            <w:r w:rsidR="00B23A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50869">
              <w:rPr>
                <w:rFonts w:asciiTheme="minorHAnsi" w:hAnsiTheme="minorHAnsi" w:cstheme="minorHAnsi"/>
                <w:sz w:val="22"/>
                <w:szCs w:val="22"/>
              </w:rPr>
              <w:t>nich większym wyzwaniem w porównaniu do</w:t>
            </w:r>
            <w:r w:rsidR="00B23A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50869">
              <w:rPr>
                <w:rFonts w:asciiTheme="minorHAnsi" w:hAnsiTheme="minorHAnsi" w:cstheme="minorHAnsi"/>
                <w:sz w:val="22"/>
                <w:szCs w:val="22"/>
              </w:rPr>
              <w:t>przedsiębiorstw z innych sektorów.</w:t>
            </w:r>
          </w:p>
        </w:tc>
        <w:tc>
          <w:tcPr>
            <w:tcW w:w="1359" w:type="dxa"/>
          </w:tcPr>
          <w:p w:rsidR="00850869" w:rsidRPr="00A06425" w:rsidRDefault="00850869" w:rsidP="008508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50869" w:rsidRPr="00A06425" w:rsidTr="00B36A64">
        <w:trPr>
          <w:jc w:val="center"/>
        </w:trPr>
        <w:tc>
          <w:tcPr>
            <w:tcW w:w="562" w:type="dxa"/>
            <w:shd w:val="clear" w:color="auto" w:fill="auto"/>
          </w:tcPr>
          <w:p w:rsidR="00850869" w:rsidRPr="00A06425" w:rsidRDefault="00850869" w:rsidP="00B23AE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850869" w:rsidRPr="009C1813" w:rsidRDefault="006E090C" w:rsidP="00B23AE6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1813">
              <w:rPr>
                <w:rFonts w:asciiTheme="minorHAnsi" w:hAnsiTheme="minorHAnsi" w:cstheme="minorHAnsi"/>
                <w:b/>
                <w:sz w:val="22"/>
                <w:szCs w:val="22"/>
              </w:rPr>
              <w:t>MAP</w:t>
            </w:r>
          </w:p>
        </w:tc>
        <w:tc>
          <w:tcPr>
            <w:tcW w:w="1559" w:type="dxa"/>
            <w:shd w:val="clear" w:color="auto" w:fill="auto"/>
          </w:tcPr>
          <w:p w:rsidR="00850869" w:rsidRPr="00B23AE6" w:rsidRDefault="00FE3A70" w:rsidP="00B23AE6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B23AE6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 w:rsidR="009C18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50869" w:rsidRPr="00B23AE6">
              <w:rPr>
                <w:rFonts w:asciiTheme="minorHAnsi" w:hAnsiTheme="minorHAnsi" w:cstheme="minorHAnsi"/>
                <w:sz w:val="20"/>
                <w:szCs w:val="20"/>
              </w:rPr>
              <w:t>Cele</w:t>
            </w:r>
            <w:r w:rsidRPr="00B23AE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50869" w:rsidRPr="00B23AE6">
              <w:rPr>
                <w:rFonts w:asciiTheme="minorHAnsi" w:hAnsiTheme="minorHAnsi" w:cstheme="minorHAnsi"/>
                <w:sz w:val="20"/>
                <w:szCs w:val="20"/>
              </w:rPr>
              <w:t>cyfrowe:</w:t>
            </w:r>
          </w:p>
          <w:p w:rsidR="00B23AE6" w:rsidRDefault="00850869" w:rsidP="00B23AE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23AE6">
              <w:rPr>
                <w:rFonts w:asciiTheme="minorHAnsi" w:hAnsiTheme="minorHAnsi" w:cstheme="minorHAnsi"/>
                <w:sz w:val="20"/>
                <w:szCs w:val="20"/>
              </w:rPr>
              <w:t xml:space="preserve">polityki, środki </w:t>
            </w:r>
            <w:r w:rsidR="00B23AE6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B23AE6">
              <w:rPr>
                <w:rFonts w:asciiTheme="minorHAnsi" w:hAnsiTheme="minorHAnsi" w:cstheme="minorHAnsi"/>
                <w:sz w:val="20"/>
                <w:szCs w:val="20"/>
              </w:rPr>
              <w:t>i działania</w:t>
            </w:r>
          </w:p>
          <w:p w:rsidR="00850869" w:rsidRPr="00B23AE6" w:rsidRDefault="00FE3A70" w:rsidP="00B23AE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23AE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3.2.</w:t>
            </w:r>
            <w:r w:rsidR="009C18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50869" w:rsidRPr="00B23AE6">
              <w:rPr>
                <w:rFonts w:asciiTheme="minorHAnsi" w:hAnsiTheme="minorHAnsi" w:cstheme="minorHAnsi"/>
                <w:sz w:val="20"/>
                <w:szCs w:val="20"/>
              </w:rPr>
              <w:t>Opis</w:t>
            </w:r>
            <w:r w:rsidRPr="00B23AE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50869" w:rsidRPr="00B23AE6">
              <w:rPr>
                <w:rFonts w:asciiTheme="minorHAnsi" w:hAnsiTheme="minorHAnsi" w:cstheme="minorHAnsi"/>
                <w:sz w:val="20"/>
                <w:szCs w:val="20"/>
              </w:rPr>
              <w:t>środków</w:t>
            </w:r>
          </w:p>
          <w:p w:rsidR="00850869" w:rsidRPr="00B23AE6" w:rsidRDefault="00850869" w:rsidP="00B23AE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23AE6">
              <w:rPr>
                <w:rFonts w:asciiTheme="minorHAnsi" w:hAnsiTheme="minorHAnsi" w:cstheme="minorHAnsi"/>
                <w:sz w:val="20"/>
                <w:szCs w:val="20"/>
              </w:rPr>
              <w:t>3.2.3</w:t>
            </w:r>
            <w:r w:rsidR="009C181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B23AE6">
              <w:rPr>
                <w:rFonts w:asciiTheme="minorHAnsi" w:hAnsiTheme="minorHAnsi" w:cstheme="minorHAnsi"/>
                <w:sz w:val="20"/>
                <w:szCs w:val="20"/>
              </w:rPr>
              <w:t xml:space="preserve"> Transformacja cyfrowa przedsiębiorstw</w:t>
            </w:r>
          </w:p>
          <w:p w:rsidR="00850869" w:rsidRPr="00B23AE6" w:rsidRDefault="00850869" w:rsidP="00B23AE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23AE6">
              <w:rPr>
                <w:rFonts w:asciiTheme="minorHAnsi" w:hAnsiTheme="minorHAnsi" w:cstheme="minorHAnsi"/>
                <w:sz w:val="20"/>
                <w:szCs w:val="20"/>
              </w:rPr>
              <w:t>(TCP.I.8.DIG.IT</w:t>
            </w:r>
          </w:p>
          <w:p w:rsidR="00850869" w:rsidRPr="00B23AE6" w:rsidRDefault="00850869" w:rsidP="00B23AE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23AE6">
              <w:rPr>
                <w:rFonts w:asciiTheme="minorHAnsi" w:hAnsiTheme="minorHAnsi" w:cstheme="minorHAnsi"/>
                <w:sz w:val="20"/>
                <w:szCs w:val="20"/>
              </w:rPr>
              <w:t>Transformacja cyfrowa polskich</w:t>
            </w:r>
          </w:p>
          <w:p w:rsidR="00850869" w:rsidRPr="00A06425" w:rsidRDefault="00850869" w:rsidP="00B23A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23AE6">
              <w:rPr>
                <w:rFonts w:asciiTheme="minorHAnsi" w:hAnsiTheme="minorHAnsi" w:cstheme="minorHAnsi"/>
                <w:sz w:val="20"/>
                <w:szCs w:val="20"/>
              </w:rPr>
              <w:t>MŚP)</w:t>
            </w:r>
          </w:p>
        </w:tc>
        <w:tc>
          <w:tcPr>
            <w:tcW w:w="4678" w:type="dxa"/>
            <w:shd w:val="clear" w:color="auto" w:fill="auto"/>
          </w:tcPr>
          <w:p w:rsidR="00850869" w:rsidRPr="00A06425" w:rsidRDefault="00850869" w:rsidP="009C1813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5086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Ze względu na odstąpienie od realizacji usług</w:t>
            </w:r>
            <w:r w:rsidR="009C18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50869">
              <w:rPr>
                <w:rFonts w:asciiTheme="minorHAnsi" w:hAnsiTheme="minorHAnsi" w:cstheme="minorHAnsi"/>
                <w:sz w:val="22"/>
                <w:szCs w:val="22"/>
              </w:rPr>
              <w:t>doradczych</w:t>
            </w:r>
            <w:r w:rsidR="009C1813">
              <w:rPr>
                <w:rFonts w:asciiTheme="minorHAnsi" w:hAnsiTheme="minorHAnsi" w:cstheme="minorHAnsi"/>
                <w:sz w:val="22"/>
                <w:szCs w:val="22"/>
              </w:rPr>
              <w:t>, w projekcie</w:t>
            </w:r>
            <w:r w:rsidRPr="00850869">
              <w:rPr>
                <w:rFonts w:asciiTheme="minorHAnsi" w:hAnsiTheme="minorHAnsi" w:cstheme="minorHAnsi"/>
                <w:sz w:val="22"/>
                <w:szCs w:val="22"/>
              </w:rPr>
              <w:t xml:space="preserve"> zmieniła się wartość</w:t>
            </w:r>
            <w:r w:rsidR="009C18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50869">
              <w:rPr>
                <w:rFonts w:asciiTheme="minorHAnsi" w:hAnsiTheme="minorHAnsi" w:cstheme="minorHAnsi"/>
                <w:sz w:val="22"/>
                <w:szCs w:val="22"/>
              </w:rPr>
              <w:t>wskaźnika przedsiębiorstw, które zostaną</w:t>
            </w:r>
            <w:r w:rsidR="009C18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50869">
              <w:rPr>
                <w:rFonts w:asciiTheme="minorHAnsi" w:hAnsiTheme="minorHAnsi" w:cstheme="minorHAnsi"/>
                <w:sz w:val="22"/>
                <w:szCs w:val="22"/>
              </w:rPr>
              <w:t xml:space="preserve">objęte </w:t>
            </w:r>
            <w:r w:rsidR="009C1813">
              <w:rPr>
                <w:rFonts w:asciiTheme="minorHAnsi" w:hAnsiTheme="minorHAnsi" w:cstheme="minorHAnsi"/>
                <w:sz w:val="22"/>
                <w:szCs w:val="22"/>
              </w:rPr>
              <w:t xml:space="preserve">wsparciem. W związku z tym proponuje się zmianę </w:t>
            </w:r>
            <w:r w:rsidRPr="0085086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zapisu w części</w:t>
            </w:r>
            <w:r w:rsidR="009C18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50869">
              <w:rPr>
                <w:rFonts w:asciiTheme="minorHAnsi" w:hAnsiTheme="minorHAnsi" w:cstheme="minorHAnsi"/>
                <w:sz w:val="22"/>
                <w:szCs w:val="22"/>
              </w:rPr>
              <w:t xml:space="preserve">„OCZEKIWANY WPŁYW WRAZ </w:t>
            </w:r>
            <w:r w:rsidR="009C1813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50869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9C18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50869">
              <w:rPr>
                <w:rFonts w:asciiTheme="minorHAnsi" w:hAnsiTheme="minorHAnsi" w:cstheme="minorHAnsi"/>
                <w:sz w:val="22"/>
                <w:szCs w:val="22"/>
              </w:rPr>
              <w:t>HARMONOGRAMEM”</w:t>
            </w:r>
            <w:r w:rsidR="009C181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850869" w:rsidRPr="00A06425" w:rsidRDefault="00850869" w:rsidP="009C1813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5086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 ramach projektu </w:t>
            </w:r>
            <w:r w:rsidR="009C1813">
              <w:rPr>
                <w:rFonts w:asciiTheme="minorHAnsi" w:hAnsiTheme="minorHAnsi" w:cstheme="minorHAnsi"/>
                <w:sz w:val="22"/>
                <w:szCs w:val="22"/>
              </w:rPr>
              <w:t xml:space="preserve">szacuje się, że wsparcie w zakresie </w:t>
            </w:r>
            <w:r w:rsidRPr="00850869">
              <w:rPr>
                <w:rFonts w:asciiTheme="minorHAnsi" w:hAnsiTheme="minorHAnsi" w:cstheme="minorHAnsi"/>
                <w:sz w:val="22"/>
                <w:szCs w:val="22"/>
              </w:rPr>
              <w:t>technologii</w:t>
            </w:r>
            <w:r w:rsidR="009C1813">
              <w:rPr>
                <w:rFonts w:asciiTheme="minorHAnsi" w:hAnsiTheme="minorHAnsi" w:cstheme="minorHAnsi"/>
                <w:sz w:val="22"/>
                <w:szCs w:val="22"/>
              </w:rPr>
              <w:t xml:space="preserve"> cyfrowych </w:t>
            </w:r>
            <w:r w:rsidRPr="00850869">
              <w:rPr>
                <w:rFonts w:asciiTheme="minorHAnsi" w:hAnsiTheme="minorHAnsi" w:cstheme="minorHAnsi"/>
                <w:sz w:val="22"/>
                <w:szCs w:val="22"/>
              </w:rPr>
              <w:t>otrzyma 400 przedsiębiorstw (2029 r.).</w:t>
            </w:r>
          </w:p>
        </w:tc>
        <w:tc>
          <w:tcPr>
            <w:tcW w:w="1359" w:type="dxa"/>
          </w:tcPr>
          <w:p w:rsidR="00850869" w:rsidRPr="00A06425" w:rsidRDefault="00850869" w:rsidP="008508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114B0"/>
    <w:multiLevelType w:val="hybridMultilevel"/>
    <w:tmpl w:val="C3BECD3A"/>
    <w:lvl w:ilvl="0" w:tplc="4744473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D086F"/>
    <w:rsid w:val="005F6527"/>
    <w:rsid w:val="006705EC"/>
    <w:rsid w:val="006E090C"/>
    <w:rsid w:val="006E16E9"/>
    <w:rsid w:val="00710A8A"/>
    <w:rsid w:val="00807385"/>
    <w:rsid w:val="00850869"/>
    <w:rsid w:val="00944932"/>
    <w:rsid w:val="009C1813"/>
    <w:rsid w:val="009E5FDB"/>
    <w:rsid w:val="00A06425"/>
    <w:rsid w:val="00AC7796"/>
    <w:rsid w:val="00B23AE6"/>
    <w:rsid w:val="00B36A64"/>
    <w:rsid w:val="00B871B6"/>
    <w:rsid w:val="00C64B1B"/>
    <w:rsid w:val="00CD5EB0"/>
    <w:rsid w:val="00E14C33"/>
    <w:rsid w:val="00E96CA8"/>
    <w:rsid w:val="00FE3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3657BA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23A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CF36C7-3E3A-4C09-A3D4-D5DDD5CD7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695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Pelk Bartosz</cp:lastModifiedBy>
  <cp:revision>6</cp:revision>
  <dcterms:created xsi:type="dcterms:W3CDTF">2024-05-07T06:16:00Z</dcterms:created>
  <dcterms:modified xsi:type="dcterms:W3CDTF">2024-05-08T17:53:00Z</dcterms:modified>
</cp:coreProperties>
</file>